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AD" w:rsidRPr="00AB0C2E" w:rsidRDefault="006236AD" w:rsidP="00357178">
      <w:pPr>
        <w:autoSpaceDE w:val="0"/>
        <w:jc w:val="center"/>
        <w:rPr>
          <w:rFonts w:ascii="Times New Roman" w:hAnsi="Times New Roman"/>
          <w:b/>
          <w:sz w:val="28"/>
          <w:szCs w:val="28"/>
        </w:rPr>
      </w:pPr>
      <w:r w:rsidRPr="00AB0C2E">
        <w:rPr>
          <w:rFonts w:ascii="Times New Roman" w:hAnsi="Times New Roman"/>
          <w:b/>
          <w:sz w:val="28"/>
          <w:szCs w:val="28"/>
        </w:rPr>
        <w:t>COMMISSIONE POLITICHE AGRICOLE DELLA CONFERENZA DELLE REGIONI E DELLE PROVINCE AUTONOME</w:t>
      </w:r>
    </w:p>
    <w:p w:rsidR="006236AD" w:rsidRPr="00AB0C2E" w:rsidRDefault="006236AD" w:rsidP="00357178">
      <w:pPr>
        <w:autoSpaceDE w:val="0"/>
        <w:ind w:firstLine="709"/>
        <w:jc w:val="both"/>
        <w:rPr>
          <w:rFonts w:ascii="Times New Roman" w:hAnsi="Times New Roman"/>
          <w:sz w:val="28"/>
          <w:szCs w:val="28"/>
        </w:rPr>
      </w:pP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 xml:space="preserve">Vista </w:t>
      </w:r>
      <w:r w:rsidRPr="00AB0C2E">
        <w:rPr>
          <w:rFonts w:ascii="Times New Roman" w:hAnsi="Times New Roman"/>
          <w:sz w:val="28"/>
          <w:szCs w:val="28"/>
        </w:rPr>
        <w:t xml:space="preserve">la Comunicazione della Commissione al Parlamento europeo, al Consiglio, al Comitato economico e sociale europeo e al Comitato delle regioni </w:t>
      </w:r>
      <w:r w:rsidRPr="00AB0C2E">
        <w:rPr>
          <w:rFonts w:ascii="Times New Roman" w:hAnsi="Times New Roman"/>
          <w:i/>
          <w:sz w:val="28"/>
          <w:szCs w:val="28"/>
        </w:rPr>
        <w:t xml:space="preserve">sulla libertà per gli Stati membri di decidere in merito alla coltivazione di colture geneticamente modificate </w:t>
      </w:r>
      <w:r w:rsidRPr="00AB0C2E">
        <w:rPr>
          <w:rFonts w:ascii="Times New Roman" w:hAnsi="Times New Roman"/>
          <w:sz w:val="28"/>
          <w:szCs w:val="28"/>
        </w:rPr>
        <w:t xml:space="preserve">(COM (2010) 380 </w:t>
      </w:r>
      <w:proofErr w:type="spellStart"/>
      <w:r w:rsidRPr="00AB0C2E">
        <w:rPr>
          <w:rFonts w:ascii="Times New Roman" w:hAnsi="Times New Roman"/>
          <w:sz w:val="28"/>
          <w:szCs w:val="28"/>
        </w:rPr>
        <w:t>def</w:t>
      </w:r>
      <w:proofErr w:type="spellEnd"/>
      <w:r w:rsidRPr="00AB0C2E">
        <w:rPr>
          <w:rFonts w:ascii="Times New Roman" w:hAnsi="Times New Roman"/>
          <w:sz w:val="28"/>
          <w:szCs w:val="28"/>
        </w:rPr>
        <w:t xml:space="preserve">.); </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vista</w:t>
      </w:r>
      <w:r w:rsidRPr="00AB0C2E">
        <w:rPr>
          <w:rFonts w:ascii="Times New Roman" w:hAnsi="Times New Roman"/>
          <w:sz w:val="28"/>
          <w:szCs w:val="28"/>
        </w:rPr>
        <w:t xml:space="preserve"> la proposta di regolamento del Parlamento europeo e del Consiglio </w:t>
      </w:r>
      <w:r w:rsidRPr="00AB0C2E">
        <w:rPr>
          <w:rFonts w:ascii="Times New Roman" w:hAnsi="Times New Roman"/>
          <w:i/>
          <w:sz w:val="28"/>
          <w:szCs w:val="28"/>
        </w:rPr>
        <w:t xml:space="preserve">che modifica la direttiva 2001/18/CE per quanto concerne la possibilità per gli Stati membri di limitare o vietare la coltivazione di OGM sul loro territorio </w:t>
      </w:r>
      <w:r w:rsidRPr="00AB0C2E">
        <w:rPr>
          <w:rFonts w:ascii="Times New Roman" w:hAnsi="Times New Roman"/>
          <w:sz w:val="28"/>
          <w:szCs w:val="28"/>
        </w:rPr>
        <w:t xml:space="preserve">(COM (2010) 375 </w:t>
      </w:r>
      <w:proofErr w:type="spellStart"/>
      <w:r w:rsidRPr="00AB0C2E">
        <w:rPr>
          <w:rFonts w:ascii="Times New Roman" w:hAnsi="Times New Roman"/>
          <w:sz w:val="28"/>
          <w:szCs w:val="28"/>
        </w:rPr>
        <w:t>def</w:t>
      </w:r>
      <w:proofErr w:type="spellEnd"/>
      <w:r w:rsidRPr="00AB0C2E">
        <w:rPr>
          <w:rFonts w:ascii="Times New Roman" w:hAnsi="Times New Roman"/>
          <w:sz w:val="28"/>
          <w:szCs w:val="28"/>
        </w:rPr>
        <w:t xml:space="preserve">.); </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vista</w:t>
      </w:r>
      <w:r w:rsidRPr="00AB0C2E">
        <w:rPr>
          <w:rFonts w:ascii="Times New Roman" w:hAnsi="Times New Roman"/>
          <w:sz w:val="28"/>
          <w:szCs w:val="28"/>
        </w:rPr>
        <w:t xml:space="preserve"> la Raccomandazione della Commissione </w:t>
      </w:r>
      <w:r w:rsidRPr="00AB0C2E">
        <w:rPr>
          <w:rFonts w:ascii="Times New Roman" w:hAnsi="Times New Roman"/>
          <w:i/>
          <w:sz w:val="28"/>
          <w:szCs w:val="28"/>
        </w:rPr>
        <w:t>recante orientamenti per l’elaborazione di misure nazionali in materia di coesistenza per evitare la presenza involontaria di OGM nelle colture convenzionali e biologiche</w:t>
      </w:r>
      <w:r w:rsidRPr="00AB0C2E">
        <w:rPr>
          <w:rFonts w:ascii="Times New Roman" w:hAnsi="Times New Roman"/>
          <w:sz w:val="28"/>
          <w:szCs w:val="28"/>
        </w:rPr>
        <w:t xml:space="preserve"> (n. 2010/C 200/01)</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considerato</w:t>
      </w:r>
      <w:r w:rsidRPr="00AB0C2E">
        <w:rPr>
          <w:rFonts w:ascii="Times New Roman" w:hAnsi="Times New Roman"/>
          <w:sz w:val="28"/>
          <w:szCs w:val="28"/>
        </w:rPr>
        <w:t xml:space="preserve"> che l’attuale quadro di riferimento europeo in materia di coesistenza si fonda sul grado di commistione tra colture OGM, convenzionali e biologiche che ciascun Paese membro intende consentire;</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preso atto</w:t>
      </w:r>
      <w:r w:rsidRPr="00AB0C2E">
        <w:rPr>
          <w:rFonts w:ascii="Times New Roman" w:hAnsi="Times New Roman"/>
          <w:sz w:val="28"/>
          <w:szCs w:val="28"/>
        </w:rPr>
        <w:t xml:space="preserve"> che l’Unione Europea intende ammettere la possibilità per i Paesi membri di vietare la coltivazione di OGM e che una tale opzione sussiste per il nostro Paese;</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visto</w:t>
      </w:r>
      <w:r w:rsidRPr="00AB0C2E">
        <w:rPr>
          <w:rFonts w:ascii="Times New Roman" w:hAnsi="Times New Roman"/>
          <w:sz w:val="28"/>
          <w:szCs w:val="28"/>
        </w:rPr>
        <w:t xml:space="preserve"> il regolamento europeo 2 luglio 2008, n. 628, della Commissione, </w:t>
      </w:r>
      <w:r w:rsidRPr="00AB0C2E">
        <w:rPr>
          <w:rFonts w:ascii="Times New Roman" w:hAnsi="Times New Roman"/>
          <w:i/>
          <w:sz w:val="28"/>
          <w:szCs w:val="28"/>
        </w:rPr>
        <w:t>che modifica il regolamento (CE) n. 1898/2006 recante modalità di applicazione del regolamento (CE) n. 510/2006 del Consiglio relativo alla protezione delle indicazioni geografiche e delle denominazioni d’origine dei prodotti agricoli e alimentari</w:t>
      </w:r>
      <w:r w:rsidRPr="00AB0C2E">
        <w:rPr>
          <w:rFonts w:ascii="Times New Roman" w:hAnsi="Times New Roman"/>
          <w:sz w:val="28"/>
          <w:szCs w:val="28"/>
        </w:rPr>
        <w:t>;</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 xml:space="preserve">visto </w:t>
      </w:r>
      <w:r w:rsidRPr="00AB0C2E">
        <w:rPr>
          <w:rFonts w:ascii="Times New Roman" w:hAnsi="Times New Roman"/>
          <w:sz w:val="28"/>
          <w:szCs w:val="28"/>
        </w:rPr>
        <w:t xml:space="preserve">il regolamento europeo 28 giugno 2007, n. 834/2007, del Consiglio, </w:t>
      </w:r>
      <w:r w:rsidRPr="00AB0C2E">
        <w:rPr>
          <w:rFonts w:ascii="Times New Roman" w:hAnsi="Times New Roman"/>
          <w:i/>
          <w:sz w:val="28"/>
          <w:szCs w:val="28"/>
        </w:rPr>
        <w:t>relativo alla produzione biologica e all’etichettatura dei prodotti biologici e che abroga il regolamento (CEE) n. 2092/91</w:t>
      </w:r>
      <w:r w:rsidRPr="00AB0C2E">
        <w:rPr>
          <w:rFonts w:ascii="Times New Roman" w:hAnsi="Times New Roman"/>
          <w:sz w:val="28"/>
          <w:szCs w:val="28"/>
        </w:rPr>
        <w:t>;</w:t>
      </w:r>
    </w:p>
    <w:p w:rsidR="006236AD" w:rsidRPr="00AB0C2E" w:rsidRDefault="006236AD" w:rsidP="00357178">
      <w:pPr>
        <w:autoSpaceDE w:val="0"/>
        <w:ind w:firstLine="709"/>
        <w:jc w:val="both"/>
        <w:rPr>
          <w:rFonts w:ascii="Times New Roman" w:hAnsi="Times New Roman"/>
          <w:i/>
          <w:sz w:val="28"/>
          <w:szCs w:val="28"/>
        </w:rPr>
      </w:pPr>
      <w:r w:rsidRPr="00AB0C2E">
        <w:rPr>
          <w:rFonts w:ascii="Times New Roman" w:hAnsi="Times New Roman"/>
          <w:i/>
          <w:sz w:val="28"/>
          <w:szCs w:val="28"/>
        </w:rPr>
        <w:t>visto</w:t>
      </w:r>
      <w:r w:rsidRPr="00AB0C2E">
        <w:rPr>
          <w:rFonts w:ascii="Times New Roman" w:hAnsi="Times New Roman"/>
          <w:bCs/>
          <w:sz w:val="28"/>
          <w:szCs w:val="28"/>
        </w:rPr>
        <w:t xml:space="preserve"> il regolamento europeo 29 settembre 2003 n. 1782/2003, </w:t>
      </w:r>
      <w:r w:rsidRPr="00AB0C2E">
        <w:rPr>
          <w:rFonts w:ascii="Times New Roman" w:hAnsi="Times New Roman"/>
          <w:sz w:val="28"/>
          <w:szCs w:val="28"/>
        </w:rPr>
        <w:t xml:space="preserve">del Consiglio, </w:t>
      </w:r>
      <w:r w:rsidRPr="00AB0C2E">
        <w:rPr>
          <w:rFonts w:ascii="Times New Roman" w:hAnsi="Times New Roman"/>
          <w:i/>
          <w:sz w:val="28"/>
          <w:szCs w:val="28"/>
        </w:rPr>
        <w:t>che stabilisce norme comuni relative ai regimi di sostegno diretto nell'ambito della politica agricola comune e istituisce taluni regimi di sostegno a favore degli agricoltori e che modifica i regolamenti (CEE) n. 2019/93, (CE) n. 1452/2001, (CE) n. 1453/2001, (CE) n. 1454/2001, (CE) n. 1868/94, (CE) n. 1251/1999, (CE) n. 1254/1999, (CE) n. 1673/2000, (CEE) n. 2358/71 e (CE) n. 2529/2001;</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lastRenderedPageBreak/>
        <w:t>visto</w:t>
      </w:r>
      <w:r w:rsidRPr="00AB0C2E">
        <w:rPr>
          <w:rFonts w:ascii="Times New Roman" w:hAnsi="Times New Roman"/>
          <w:sz w:val="28"/>
          <w:szCs w:val="28"/>
        </w:rPr>
        <w:t xml:space="preserve"> il decreto direttoriale 22 luglio 2004, recante </w:t>
      </w:r>
      <w:r w:rsidRPr="00AB0C2E">
        <w:rPr>
          <w:rFonts w:ascii="Times New Roman" w:hAnsi="Times New Roman"/>
          <w:i/>
          <w:sz w:val="28"/>
          <w:szCs w:val="28"/>
        </w:rPr>
        <w:t>quarta revisione dell'elenco nazionale dei prodotti agroalimentari tradizionali</w:t>
      </w:r>
      <w:r w:rsidRPr="00AB0C2E">
        <w:rPr>
          <w:rFonts w:ascii="Times New Roman" w:hAnsi="Times New Roman"/>
          <w:sz w:val="28"/>
          <w:szCs w:val="28"/>
        </w:rPr>
        <w:t xml:space="preserve">; </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visto</w:t>
      </w:r>
      <w:r w:rsidRPr="00AB0C2E">
        <w:rPr>
          <w:rFonts w:ascii="Times New Roman" w:hAnsi="Times New Roman"/>
          <w:sz w:val="28"/>
          <w:szCs w:val="28"/>
        </w:rPr>
        <w:t xml:space="preserve"> il decreto ministeriale 9 aprile 2008, </w:t>
      </w:r>
      <w:r w:rsidRPr="00AB0C2E">
        <w:rPr>
          <w:rFonts w:ascii="Times New Roman" w:hAnsi="Times New Roman"/>
          <w:i/>
          <w:sz w:val="28"/>
          <w:szCs w:val="28"/>
        </w:rPr>
        <w:t>recante individuazione dei prodotti agroalimentari italiani come espressione del patrimonio culturale italiano</w:t>
      </w:r>
      <w:r w:rsidRPr="00AB0C2E">
        <w:rPr>
          <w:rFonts w:ascii="Times New Roman" w:hAnsi="Times New Roman"/>
          <w:sz w:val="28"/>
          <w:szCs w:val="28"/>
        </w:rPr>
        <w:t>;</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considerato</w:t>
      </w:r>
      <w:r w:rsidRPr="00AB0C2E">
        <w:rPr>
          <w:rFonts w:ascii="Times New Roman" w:hAnsi="Times New Roman"/>
          <w:sz w:val="28"/>
          <w:szCs w:val="28"/>
        </w:rPr>
        <w:t xml:space="preserve"> il principio di precauzione di cui all’articolo 15 della Dichiarazione di Rio del 1992 e di cui all’articolo 191 del Trattato CE; </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preso atto</w:t>
      </w:r>
      <w:r w:rsidRPr="00AB0C2E">
        <w:rPr>
          <w:rFonts w:ascii="Times New Roman" w:hAnsi="Times New Roman"/>
          <w:sz w:val="28"/>
          <w:szCs w:val="28"/>
        </w:rPr>
        <w:t xml:space="preserve"> della possibilità di dichiarare l’intero territorio nazionale come libero da OGM;</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 xml:space="preserve">considerata </w:t>
      </w:r>
      <w:r w:rsidRPr="00AB0C2E">
        <w:rPr>
          <w:rFonts w:ascii="Times New Roman" w:hAnsi="Times New Roman"/>
          <w:sz w:val="28"/>
          <w:szCs w:val="28"/>
        </w:rPr>
        <w:t xml:space="preserve">l’ammissibilità dell’esercizio della clausola di salvaguardia ai sensi dell’articolo 23 della direttiva 2001/18/CE del Parlamento europeo e del Consiglio del 12 marzo 2001, </w:t>
      </w:r>
      <w:r w:rsidRPr="00AB0C2E">
        <w:rPr>
          <w:rFonts w:ascii="Times New Roman" w:hAnsi="Times New Roman"/>
          <w:i/>
          <w:sz w:val="28"/>
          <w:szCs w:val="28"/>
        </w:rPr>
        <w:t>sull’emissione deliberata nell’ambiente di organismi geneticamente modificati e che abroga la direttiva 90/220/CE del Consiglio</w:t>
      </w:r>
      <w:r w:rsidRPr="00AB0C2E">
        <w:rPr>
          <w:rFonts w:ascii="Times New Roman" w:hAnsi="Times New Roman"/>
          <w:sz w:val="28"/>
          <w:szCs w:val="28"/>
        </w:rPr>
        <w:t xml:space="preserve">, recepita dall’articolo 25 del decreto legislativo 8 luglio 2003, n. 224; </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preso atto</w:t>
      </w:r>
      <w:r w:rsidRPr="00AB0C2E">
        <w:rPr>
          <w:rFonts w:ascii="Times New Roman" w:hAnsi="Times New Roman"/>
          <w:sz w:val="28"/>
          <w:szCs w:val="28"/>
        </w:rPr>
        <w:t xml:space="preserve"> del fatto che, secondo quanto stabilito dal Consiglio di Stato con la sentenza n. 183/2010, considerati i profili prettamente economici che devono essere regolamentati dai piani di coesistenza e considerato che, a tali piani, sono estranei i profili ambientali e sanitari, la loro approvazione non interferisce in alcun modo con il principio comunitario della coltivabilità degli OGM se autorizzati; </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considerato</w:t>
      </w:r>
      <w:r w:rsidRPr="00AB0C2E">
        <w:rPr>
          <w:rFonts w:ascii="Times New Roman" w:hAnsi="Times New Roman"/>
          <w:sz w:val="28"/>
          <w:szCs w:val="28"/>
        </w:rPr>
        <w:t xml:space="preserve"> che, secondo quanto stabilito dal Consiglio di Stato con la sentenza n. 183/2010, il rilascio dell’autorizzazione alla messa in coltura, di cui all’articolo 1, comma 2, del decreto legislativo 24 aprile 2001, n. 212, non può essere condizionato alla previa adozione dei piani di coesistenza; </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ritenuto</w:t>
      </w:r>
      <w:r w:rsidRPr="00AB0C2E">
        <w:rPr>
          <w:rFonts w:ascii="Times New Roman" w:hAnsi="Times New Roman"/>
          <w:sz w:val="28"/>
          <w:szCs w:val="28"/>
        </w:rPr>
        <w:t xml:space="preserve"> che non sussiste, in Italia, alcun vuoto normativo attinente alla materia della coesistenza, la cui regolazione rappresenta una facoltà e non un obbligo e chiunque è legittimato alla coltivazione di OGM, nel rispetto della disciplina vigente in materia di sementi;</w:t>
      </w:r>
    </w:p>
    <w:p w:rsidR="006236AD" w:rsidRPr="00AB0C2E" w:rsidRDefault="006236AD" w:rsidP="00357178">
      <w:pPr>
        <w:autoSpaceDE w:val="0"/>
        <w:ind w:firstLine="709"/>
        <w:jc w:val="both"/>
        <w:rPr>
          <w:rFonts w:ascii="Times New Roman" w:hAnsi="Times New Roman"/>
          <w:sz w:val="28"/>
          <w:szCs w:val="28"/>
        </w:rPr>
      </w:pPr>
      <w:r w:rsidRPr="00AB0C2E">
        <w:rPr>
          <w:rFonts w:ascii="Times New Roman" w:hAnsi="Times New Roman"/>
          <w:i/>
          <w:sz w:val="28"/>
          <w:szCs w:val="28"/>
        </w:rPr>
        <w:t xml:space="preserve">considerato </w:t>
      </w:r>
      <w:r w:rsidRPr="00AB0C2E">
        <w:rPr>
          <w:rFonts w:ascii="Times New Roman" w:hAnsi="Times New Roman"/>
          <w:sz w:val="28"/>
          <w:szCs w:val="28"/>
        </w:rPr>
        <w:t xml:space="preserve">che il decreto legislativo 24 aprile 2001, n. 212 non interferisce in alcun modo con l’operatività del principio europeo di coltivazione delle sementi se autorizzate, attenendo, piuttosto, all’attuazione del </w:t>
      </w:r>
      <w:r w:rsidRPr="00AB0C2E">
        <w:rPr>
          <w:rFonts w:ascii="Times New Roman" w:hAnsi="Times New Roman"/>
          <w:i/>
          <w:sz w:val="28"/>
          <w:szCs w:val="28"/>
        </w:rPr>
        <w:t>principio di purezza delle sementi</w:t>
      </w:r>
      <w:r w:rsidRPr="00AB0C2E">
        <w:rPr>
          <w:rFonts w:ascii="Times New Roman" w:hAnsi="Times New Roman"/>
          <w:sz w:val="28"/>
          <w:szCs w:val="28"/>
        </w:rPr>
        <w:t xml:space="preserve"> e fondando, in esso, la propria autonoma legittimità;</w:t>
      </w:r>
    </w:p>
    <w:p w:rsidR="006236AD" w:rsidRPr="00AB0C2E" w:rsidRDefault="006236AD" w:rsidP="00357178">
      <w:pPr>
        <w:autoSpaceDE w:val="0"/>
        <w:ind w:firstLine="709"/>
        <w:jc w:val="center"/>
        <w:rPr>
          <w:rFonts w:ascii="Times New Roman" w:hAnsi="Times New Roman"/>
          <w:b/>
          <w:sz w:val="28"/>
          <w:szCs w:val="28"/>
        </w:rPr>
      </w:pPr>
    </w:p>
    <w:p w:rsidR="006236AD" w:rsidRPr="00AB0C2E" w:rsidRDefault="006236AD" w:rsidP="00357178">
      <w:pPr>
        <w:autoSpaceDE w:val="0"/>
        <w:ind w:firstLine="709"/>
        <w:jc w:val="center"/>
        <w:rPr>
          <w:rFonts w:ascii="Times New Roman" w:hAnsi="Times New Roman"/>
          <w:b/>
          <w:sz w:val="28"/>
          <w:szCs w:val="28"/>
        </w:rPr>
      </w:pPr>
      <w:r w:rsidRPr="00AB0C2E">
        <w:rPr>
          <w:rFonts w:ascii="Times New Roman" w:hAnsi="Times New Roman"/>
          <w:b/>
          <w:sz w:val="28"/>
          <w:szCs w:val="28"/>
        </w:rPr>
        <w:t>chiede</w:t>
      </w:r>
    </w:p>
    <w:p w:rsidR="006236AD" w:rsidRPr="00AB0C2E" w:rsidRDefault="006236AD" w:rsidP="00357178">
      <w:pPr>
        <w:autoSpaceDE w:val="0"/>
        <w:jc w:val="both"/>
        <w:rPr>
          <w:rFonts w:ascii="Times New Roman" w:hAnsi="Times New Roman"/>
          <w:sz w:val="28"/>
          <w:szCs w:val="28"/>
        </w:rPr>
      </w:pPr>
      <w:r w:rsidRPr="00AB0C2E">
        <w:rPr>
          <w:rFonts w:ascii="Times New Roman" w:hAnsi="Times New Roman"/>
          <w:sz w:val="28"/>
          <w:szCs w:val="28"/>
        </w:rPr>
        <w:lastRenderedPageBreak/>
        <w:t xml:space="preserve">al Ministro delle Politiche Agricole Alimentari e Forestali di procedere con l’esercizio della clausola di salvaguardia ai sensi dell’articolo 23 della direttiva 2001/18/CE del Parlamento europeo e del Consiglio del 12 marzo 2001, </w:t>
      </w:r>
      <w:r w:rsidRPr="00AB0C2E">
        <w:rPr>
          <w:rFonts w:ascii="Times New Roman" w:hAnsi="Times New Roman"/>
          <w:i/>
          <w:sz w:val="28"/>
          <w:szCs w:val="28"/>
        </w:rPr>
        <w:t>sull’emissione deliberata nell’ambiente di organismi geneticamente modificati e che abroga la direttiva 90/220/CE del Consiglio</w:t>
      </w:r>
      <w:r w:rsidRPr="00AB0C2E">
        <w:rPr>
          <w:rFonts w:ascii="Times New Roman" w:hAnsi="Times New Roman"/>
          <w:sz w:val="28"/>
          <w:szCs w:val="28"/>
        </w:rPr>
        <w:t xml:space="preserve">, così come recepita dall’articolo 25 del decreto legislativo 8 luglio 2003, n. 224, al fine di vietare la coltivazione del Mais MON 810 e della patata </w:t>
      </w:r>
      <w:proofErr w:type="spellStart"/>
      <w:r w:rsidRPr="00AB0C2E">
        <w:rPr>
          <w:rFonts w:ascii="Times New Roman" w:hAnsi="Times New Roman"/>
          <w:i/>
          <w:sz w:val="28"/>
          <w:szCs w:val="28"/>
        </w:rPr>
        <w:t>Amflora</w:t>
      </w:r>
      <w:proofErr w:type="spellEnd"/>
      <w:r w:rsidRPr="00AB0C2E">
        <w:rPr>
          <w:rFonts w:ascii="Times New Roman" w:hAnsi="Times New Roman"/>
          <w:sz w:val="28"/>
          <w:szCs w:val="28"/>
        </w:rPr>
        <w:t>.</w:t>
      </w:r>
    </w:p>
    <w:p w:rsidR="006236AD" w:rsidRPr="00AB0C2E" w:rsidRDefault="00BE7A88" w:rsidP="00AB0C2E">
      <w:pPr>
        <w:autoSpaceDE w:val="0"/>
        <w:jc w:val="center"/>
        <w:rPr>
          <w:rFonts w:ascii="Times New Roman" w:hAnsi="Times New Roman"/>
          <w:b/>
          <w:sz w:val="28"/>
          <w:szCs w:val="28"/>
        </w:rPr>
      </w:pPr>
      <w:r>
        <w:rPr>
          <w:rFonts w:ascii="Times New Roman" w:hAnsi="Times New Roman"/>
          <w:b/>
          <w:sz w:val="28"/>
          <w:szCs w:val="28"/>
        </w:rPr>
        <w:t>e soprattutto</w:t>
      </w:r>
    </w:p>
    <w:p w:rsidR="006236AD" w:rsidRDefault="006236AD" w:rsidP="00AB0C2E">
      <w:pPr>
        <w:jc w:val="both"/>
        <w:rPr>
          <w:rFonts w:ascii="Times New Roman" w:hAnsi="Times New Roman"/>
          <w:bCs/>
          <w:sz w:val="28"/>
          <w:szCs w:val="28"/>
        </w:rPr>
      </w:pPr>
      <w:r w:rsidRPr="00AB0C2E">
        <w:rPr>
          <w:rFonts w:ascii="Times New Roman" w:hAnsi="Times New Roman"/>
          <w:bCs/>
          <w:sz w:val="28"/>
          <w:szCs w:val="28"/>
        </w:rPr>
        <w:t>tenuto conto delle competenze in materia riconosciute dalla Costituzione, impegna il Ministro delle Politiche Agricole, Alimentari e Forestali a rappresentare anche in occasione delle riunioni in sede comunitaria la posizione unanime delle Regioni e delle Province autonome di assoluta contrarietà rispetto alla autorizzazione della coltivazione degli organismi geneticamente modificati sul territorio nazionale.</w:t>
      </w:r>
    </w:p>
    <w:p w:rsidR="006236AD" w:rsidRDefault="006236AD" w:rsidP="00AB0C2E">
      <w:pPr>
        <w:jc w:val="both"/>
        <w:rPr>
          <w:rFonts w:ascii="Times New Roman" w:hAnsi="Times New Roman"/>
          <w:bCs/>
          <w:sz w:val="28"/>
          <w:szCs w:val="28"/>
        </w:rPr>
      </w:pPr>
    </w:p>
    <w:p w:rsidR="006236AD" w:rsidRDefault="006236AD" w:rsidP="00AB0C2E">
      <w:pPr>
        <w:jc w:val="both"/>
        <w:rPr>
          <w:rFonts w:ascii="Times New Roman" w:hAnsi="Times New Roman"/>
          <w:bCs/>
          <w:sz w:val="28"/>
          <w:szCs w:val="28"/>
        </w:rPr>
      </w:pPr>
      <w:r>
        <w:rPr>
          <w:rFonts w:ascii="Times New Roman" w:hAnsi="Times New Roman"/>
          <w:bCs/>
          <w:sz w:val="28"/>
          <w:szCs w:val="28"/>
        </w:rPr>
        <w:t>Roma, 30 settembre 2010</w:t>
      </w:r>
    </w:p>
    <w:p w:rsidR="006236AD" w:rsidRDefault="006236AD" w:rsidP="00AB0C2E">
      <w:pPr>
        <w:jc w:val="both"/>
        <w:rPr>
          <w:rFonts w:ascii="Times New Roman" w:hAnsi="Times New Roman"/>
          <w:bCs/>
          <w:sz w:val="28"/>
          <w:szCs w:val="28"/>
        </w:rPr>
      </w:pPr>
      <w:r>
        <w:rPr>
          <w:rFonts w:ascii="Times New Roman" w:hAnsi="Times New Roman"/>
          <w:bCs/>
          <w:sz w:val="28"/>
          <w:szCs w:val="28"/>
        </w:rPr>
        <w:br w:type="page"/>
      </w:r>
    </w:p>
    <w:p w:rsidR="006236AD" w:rsidRPr="00A902AD" w:rsidRDefault="006236AD" w:rsidP="00AB0C2E">
      <w:pPr>
        <w:autoSpaceDE w:val="0"/>
        <w:jc w:val="both"/>
        <w:rPr>
          <w:rFonts w:ascii="Times New Roman" w:hAnsi="Times New Roman"/>
          <w:b/>
          <w:sz w:val="28"/>
          <w:szCs w:val="28"/>
        </w:rPr>
      </w:pPr>
      <w:r w:rsidRPr="00A902AD">
        <w:rPr>
          <w:rFonts w:ascii="Times New Roman" w:hAnsi="Times New Roman"/>
          <w:b/>
          <w:sz w:val="28"/>
          <w:szCs w:val="28"/>
        </w:rPr>
        <w:t xml:space="preserve">LE NUOVE REGOLE EUROPEE IN MATERIA </w:t>
      </w:r>
      <w:proofErr w:type="spellStart"/>
      <w:r w:rsidRPr="00A902AD">
        <w:rPr>
          <w:rFonts w:ascii="Times New Roman" w:hAnsi="Times New Roman"/>
          <w:b/>
          <w:sz w:val="28"/>
          <w:szCs w:val="28"/>
        </w:rPr>
        <w:t>DI</w:t>
      </w:r>
      <w:proofErr w:type="spellEnd"/>
      <w:r w:rsidRPr="00A902AD">
        <w:rPr>
          <w:rFonts w:ascii="Times New Roman" w:hAnsi="Times New Roman"/>
          <w:b/>
          <w:sz w:val="28"/>
          <w:szCs w:val="28"/>
        </w:rPr>
        <w:t xml:space="preserve"> COLTIVAZIONE </w:t>
      </w:r>
      <w:proofErr w:type="spellStart"/>
      <w:r w:rsidRPr="00A902AD">
        <w:rPr>
          <w:rFonts w:ascii="Times New Roman" w:hAnsi="Times New Roman"/>
          <w:b/>
          <w:sz w:val="28"/>
          <w:szCs w:val="28"/>
        </w:rPr>
        <w:t>DI</w:t>
      </w:r>
      <w:proofErr w:type="spellEnd"/>
      <w:r w:rsidRPr="00A902AD">
        <w:rPr>
          <w:rFonts w:ascii="Times New Roman" w:hAnsi="Times New Roman"/>
          <w:b/>
          <w:sz w:val="28"/>
          <w:szCs w:val="28"/>
        </w:rPr>
        <w:t xml:space="preserve"> OGM: COSTRUIRE UN SISTEMA AGRICOLO ITALIANO LIBERO DA OGM</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La coltivazione di OGM va valutata, oggi, alla luce di un nuovo quadro di riferimento, costituito dalla Comunicazione della Commissione al Parlamento europeo, al Consiglio, al Comitato economico e sociale europeo e al Comitato delle regioni </w:t>
      </w:r>
      <w:r w:rsidRPr="00A902AD">
        <w:rPr>
          <w:rFonts w:ascii="Times New Roman" w:hAnsi="Times New Roman"/>
          <w:i/>
          <w:sz w:val="28"/>
          <w:szCs w:val="28"/>
        </w:rPr>
        <w:t>sulla libertà per gli Stati membri di decidere in merito alla coltivazione di colture geneticamente modificate</w:t>
      </w:r>
      <w:r w:rsidRPr="00A902AD">
        <w:rPr>
          <w:rFonts w:ascii="Times New Roman" w:hAnsi="Times New Roman"/>
          <w:sz w:val="28"/>
          <w:szCs w:val="28"/>
        </w:rPr>
        <w:t xml:space="preserve">; dalla proposta di regolamento del Parlamento europeo e del Consiglio </w:t>
      </w:r>
      <w:r w:rsidRPr="00A902AD">
        <w:rPr>
          <w:rFonts w:ascii="Times New Roman" w:hAnsi="Times New Roman"/>
          <w:i/>
          <w:sz w:val="28"/>
          <w:szCs w:val="28"/>
        </w:rPr>
        <w:t>che modifica la direttiva 2001/18/CE per quanto concerne la possibilità per gli Stati membri di limitare o vietare la coltivazione di OGM sul loro territorio</w:t>
      </w:r>
      <w:r w:rsidRPr="00A902AD">
        <w:rPr>
          <w:rFonts w:ascii="Times New Roman" w:hAnsi="Times New Roman"/>
          <w:sz w:val="28"/>
          <w:szCs w:val="28"/>
        </w:rPr>
        <w:t xml:space="preserve">; e dalla Raccomandazione della Commissione </w:t>
      </w:r>
      <w:r w:rsidRPr="00A902AD">
        <w:rPr>
          <w:rFonts w:ascii="Times New Roman" w:hAnsi="Times New Roman"/>
          <w:i/>
          <w:sz w:val="28"/>
          <w:szCs w:val="28"/>
        </w:rPr>
        <w:t>recante orientamenti per l’elaborazione di misure nazionali in materia di coesistenza per evitare la presenza involontaria di OGM nelle colture convenzionali e biologiche</w:t>
      </w:r>
      <w:r w:rsidRPr="00A902AD">
        <w:rPr>
          <w:rFonts w:ascii="Times New Roman" w:hAnsi="Times New Roman"/>
          <w:sz w:val="28"/>
          <w:szCs w:val="28"/>
        </w:rPr>
        <w:t>.</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Si precisa, infatti, che l’Unione Europea sembra aprire due percorsi distinti: uno che si sostanzia nella scelta di un </w:t>
      </w:r>
      <w:r w:rsidRPr="00A902AD">
        <w:rPr>
          <w:rFonts w:ascii="Times New Roman" w:hAnsi="Times New Roman"/>
          <w:b/>
          <w:sz w:val="28"/>
          <w:szCs w:val="28"/>
        </w:rPr>
        <w:t>modello di agricoltura autonomo e libero da OGM</w:t>
      </w:r>
      <w:r w:rsidRPr="00A902AD">
        <w:rPr>
          <w:rFonts w:ascii="Times New Roman" w:hAnsi="Times New Roman"/>
          <w:sz w:val="28"/>
          <w:szCs w:val="28"/>
        </w:rPr>
        <w:t xml:space="preserve"> ed un altro in materia di </w:t>
      </w:r>
      <w:r w:rsidRPr="00A902AD">
        <w:rPr>
          <w:rFonts w:ascii="Times New Roman" w:hAnsi="Times New Roman"/>
          <w:b/>
          <w:sz w:val="28"/>
          <w:szCs w:val="28"/>
        </w:rPr>
        <w:t>coesistenza</w:t>
      </w:r>
      <w:r w:rsidRPr="00A902AD">
        <w:rPr>
          <w:rFonts w:ascii="Times New Roman" w:hAnsi="Times New Roman"/>
          <w:sz w:val="28"/>
          <w:szCs w:val="28"/>
        </w:rPr>
        <w:t xml:space="preserve">. Essi vengono trattati più approfonditamente di seguito. </w:t>
      </w:r>
    </w:p>
    <w:p w:rsidR="006236AD" w:rsidRPr="00A902AD" w:rsidRDefault="006236AD" w:rsidP="00AB0C2E">
      <w:pPr>
        <w:autoSpaceDE w:val="0"/>
        <w:ind w:firstLine="709"/>
        <w:jc w:val="both"/>
        <w:rPr>
          <w:rFonts w:ascii="Times New Roman" w:hAnsi="Times New Roman"/>
          <w:sz w:val="28"/>
          <w:szCs w:val="28"/>
          <w:u w:val="single"/>
        </w:rPr>
      </w:pPr>
      <w:r w:rsidRPr="00A902AD">
        <w:rPr>
          <w:rFonts w:ascii="Times New Roman" w:hAnsi="Times New Roman"/>
          <w:b/>
          <w:sz w:val="28"/>
          <w:szCs w:val="28"/>
          <w:u w:val="single"/>
        </w:rPr>
        <w:t>1) Per un’agricoltura italiana libera da OGM</w:t>
      </w:r>
      <w:r w:rsidRPr="00A902AD">
        <w:rPr>
          <w:rFonts w:ascii="Times New Roman" w:hAnsi="Times New Roman"/>
          <w:sz w:val="28"/>
          <w:szCs w:val="28"/>
          <w:u w:val="single"/>
        </w:rPr>
        <w:t>.</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Per quanto riguarda la proposta di modifica della direttiva 2001/18/CE, che mira ad introdurre - con regolamento - un nuovo articolo 26 </w:t>
      </w:r>
      <w:proofErr w:type="spellStart"/>
      <w:r w:rsidRPr="00A902AD">
        <w:rPr>
          <w:rFonts w:ascii="Times New Roman" w:hAnsi="Times New Roman"/>
          <w:i/>
          <w:sz w:val="28"/>
          <w:szCs w:val="28"/>
        </w:rPr>
        <w:t>ter</w:t>
      </w:r>
      <w:proofErr w:type="spellEnd"/>
      <w:r w:rsidRPr="00A902AD">
        <w:rPr>
          <w:rFonts w:ascii="Times New Roman" w:hAnsi="Times New Roman"/>
          <w:sz w:val="28"/>
          <w:szCs w:val="28"/>
        </w:rPr>
        <w:t xml:space="preserve">, essa rappresenta la </w:t>
      </w:r>
      <w:r w:rsidRPr="00A902AD">
        <w:rPr>
          <w:rFonts w:ascii="Times New Roman" w:hAnsi="Times New Roman"/>
          <w:b/>
          <w:sz w:val="28"/>
          <w:szCs w:val="28"/>
        </w:rPr>
        <w:t xml:space="preserve">base giuridica per l’adozione di misure che limitino o vietino la coltivazione di tutti o di determinati OGM in tutto il territorio o in parte di esso </w:t>
      </w:r>
      <w:r w:rsidRPr="00A902AD">
        <w:rPr>
          <w:rFonts w:ascii="Times New Roman" w:hAnsi="Times New Roman"/>
          <w:sz w:val="28"/>
          <w:szCs w:val="28"/>
        </w:rPr>
        <w:t xml:space="preserve">per ragioni diverse da quelle di carattere ambientale, sanitario e di coesistenza. Una volta entrato in vigore, tale regolamento – direttamente applicabile ed obbligatorio in tutti i suoi elementi – consentirà agli Stati membri di provvedere, in maniera motivata, all’adozione di misure idonee a difendere specifici </w:t>
      </w:r>
      <w:r w:rsidRPr="00A902AD">
        <w:rPr>
          <w:rFonts w:ascii="Times New Roman" w:hAnsi="Times New Roman"/>
          <w:b/>
          <w:sz w:val="28"/>
          <w:szCs w:val="28"/>
        </w:rPr>
        <w:t>interessi</w:t>
      </w:r>
      <w:r w:rsidRPr="00A902AD">
        <w:rPr>
          <w:rFonts w:ascii="Times New Roman" w:hAnsi="Times New Roman"/>
          <w:sz w:val="28"/>
          <w:szCs w:val="28"/>
        </w:rPr>
        <w:t xml:space="preserve">, tra cui spicca, legittimamente, la difesa di un </w:t>
      </w:r>
      <w:r w:rsidRPr="00A902AD">
        <w:rPr>
          <w:rFonts w:ascii="Times New Roman" w:hAnsi="Times New Roman"/>
          <w:b/>
          <w:sz w:val="28"/>
          <w:szCs w:val="28"/>
        </w:rPr>
        <w:t>modello di agricoltura libero da OGM</w:t>
      </w:r>
      <w:r w:rsidRPr="00A902AD">
        <w:rPr>
          <w:rFonts w:ascii="Times New Roman" w:hAnsi="Times New Roman"/>
          <w:sz w:val="28"/>
          <w:szCs w:val="28"/>
        </w:rPr>
        <w:t xml:space="preserve">.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Il problema che oggi si pone, dunque, non è più quello di definire regole per assicurare la coesistenza, bensì quello di </w:t>
      </w:r>
      <w:r w:rsidRPr="00A902AD">
        <w:rPr>
          <w:rFonts w:ascii="Times New Roman" w:hAnsi="Times New Roman"/>
          <w:b/>
          <w:sz w:val="28"/>
          <w:szCs w:val="28"/>
        </w:rPr>
        <w:t>scegliere se praticare o meno le coltivazioni transgeniche</w:t>
      </w:r>
      <w:r w:rsidRPr="00A902AD">
        <w:rPr>
          <w:rFonts w:ascii="Times New Roman" w:hAnsi="Times New Roman"/>
          <w:sz w:val="28"/>
          <w:szCs w:val="28"/>
        </w:rPr>
        <w:t xml:space="preserve">. Alla luce del nuovo quadro europeo, infatti, la coesistenza non è più un passaggio obbligato, ma una delle opzioni che, in materia di OGM, gli Stati membri hanno facoltà di adottare. </w:t>
      </w:r>
    </w:p>
    <w:p w:rsidR="006236AD" w:rsidRPr="00A902AD" w:rsidRDefault="006236AD" w:rsidP="00AB0C2E">
      <w:pPr>
        <w:autoSpaceDE w:val="0"/>
        <w:ind w:firstLine="709"/>
        <w:jc w:val="both"/>
        <w:rPr>
          <w:rFonts w:ascii="Times New Roman" w:hAnsi="Times New Roman"/>
          <w:b/>
          <w:sz w:val="28"/>
          <w:szCs w:val="28"/>
          <w:u w:val="single"/>
        </w:rPr>
      </w:pPr>
      <w:r w:rsidRPr="00A902AD">
        <w:rPr>
          <w:rFonts w:ascii="Times New Roman" w:hAnsi="Times New Roman"/>
          <w:b/>
          <w:sz w:val="28"/>
          <w:szCs w:val="28"/>
          <w:u w:val="single"/>
        </w:rPr>
        <w:t xml:space="preserve">2) Misure di coesistenza.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In </w:t>
      </w:r>
      <w:r w:rsidRPr="00A902AD">
        <w:rPr>
          <w:rFonts w:ascii="Times New Roman" w:hAnsi="Times New Roman"/>
          <w:b/>
          <w:sz w:val="28"/>
          <w:szCs w:val="28"/>
        </w:rPr>
        <w:t>materia di coesistenza</w:t>
      </w:r>
      <w:r w:rsidRPr="00A902AD">
        <w:rPr>
          <w:rFonts w:ascii="Times New Roman" w:hAnsi="Times New Roman"/>
          <w:sz w:val="28"/>
          <w:szCs w:val="28"/>
        </w:rPr>
        <w:t xml:space="preserve">, il nuovo quadro europeo assicura un grado di flessibilità sufficiente a garantire una presenza il più ridotta possibile di OGM nelle colture biologiche e di altro tipo, alla luce delle rispettive esigenze regionali e locali specifiche. Diviene centrale, da questo punto di vista, il </w:t>
      </w:r>
      <w:r w:rsidRPr="00A902AD">
        <w:rPr>
          <w:rFonts w:ascii="Times New Roman" w:hAnsi="Times New Roman"/>
          <w:b/>
          <w:sz w:val="28"/>
          <w:szCs w:val="28"/>
        </w:rPr>
        <w:t>grado di commistione</w:t>
      </w:r>
      <w:r w:rsidRPr="00A902AD">
        <w:rPr>
          <w:rFonts w:ascii="Times New Roman" w:hAnsi="Times New Roman"/>
          <w:sz w:val="28"/>
          <w:szCs w:val="28"/>
        </w:rPr>
        <w:t xml:space="preserve"> perseguito da ciascun Paese membro, in ordine al quale si ammette la possibilità di escludere la coltivazione di OGM da vaste zone del territorio, quando si possa dimostrare che non è possibile raggiungere un livello sufficiente di purezza con altri mezzi.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Peraltro, approvare, adesso, le linee guida sulla coesistenza significherebbe adottare una delle opzioni attualmente previste, escludendo,</w:t>
      </w:r>
      <w:r w:rsidRPr="00A902AD">
        <w:rPr>
          <w:rFonts w:ascii="Times New Roman" w:hAnsi="Times New Roman"/>
          <w:i/>
          <w:sz w:val="28"/>
          <w:szCs w:val="28"/>
        </w:rPr>
        <w:t xml:space="preserve"> a priori</w:t>
      </w:r>
      <w:r w:rsidRPr="00A902AD">
        <w:rPr>
          <w:rFonts w:ascii="Times New Roman" w:hAnsi="Times New Roman"/>
          <w:sz w:val="28"/>
          <w:szCs w:val="28"/>
        </w:rPr>
        <w:t>, una scelta alternativa che in passato non era stato possibile considerare.</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L’opportunità di regolare in modo rigoroso la coesistenza potrebbe anche far valere la volontà di ammettere, nel nostro Paese, la coltivazione di OGM con una serie di limiti e divieti, con l’obiettivo tutelare l’agricoltura tradizionale e biologica, ma, di fronte alla possibilità di escludere la coltivazione di tali organismi </w:t>
      </w:r>
      <w:r w:rsidRPr="00A902AD">
        <w:rPr>
          <w:rFonts w:ascii="Times New Roman" w:hAnsi="Times New Roman"/>
          <w:i/>
          <w:sz w:val="28"/>
          <w:szCs w:val="28"/>
        </w:rPr>
        <w:t xml:space="preserve">tout court </w:t>
      </w:r>
      <w:r w:rsidRPr="00A902AD">
        <w:rPr>
          <w:rFonts w:ascii="Times New Roman" w:hAnsi="Times New Roman"/>
          <w:sz w:val="28"/>
          <w:szCs w:val="28"/>
        </w:rPr>
        <w:t xml:space="preserve">e su tutto il territorio nazionale, non appare, più, né urgente, né utile. </w:t>
      </w:r>
    </w:p>
    <w:p w:rsidR="006236AD" w:rsidRPr="00A902AD" w:rsidRDefault="006236AD" w:rsidP="00AB0C2E">
      <w:pPr>
        <w:autoSpaceDE w:val="0"/>
        <w:ind w:firstLine="709"/>
        <w:jc w:val="both"/>
        <w:rPr>
          <w:rFonts w:ascii="Times New Roman" w:hAnsi="Times New Roman"/>
          <w:b/>
          <w:sz w:val="28"/>
          <w:szCs w:val="28"/>
          <w:u w:val="single"/>
        </w:rPr>
      </w:pPr>
      <w:r w:rsidRPr="00A902AD">
        <w:rPr>
          <w:rFonts w:ascii="Times New Roman" w:hAnsi="Times New Roman"/>
          <w:b/>
          <w:sz w:val="28"/>
          <w:szCs w:val="28"/>
          <w:u w:val="single"/>
        </w:rPr>
        <w:t>3) Clausole di salvaguardia.</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In proposito, giova ricordare come rimanga aperta la possibilità di attivare, nelle more del completamento del nuovo quadro comunitario, il ricorso alla </w:t>
      </w:r>
      <w:r w:rsidRPr="00A902AD">
        <w:rPr>
          <w:rFonts w:ascii="Times New Roman" w:hAnsi="Times New Roman"/>
          <w:b/>
          <w:sz w:val="28"/>
          <w:szCs w:val="28"/>
        </w:rPr>
        <w:t>clausola di salvaguardia</w:t>
      </w:r>
      <w:r w:rsidRPr="00A902AD">
        <w:rPr>
          <w:rFonts w:ascii="Times New Roman" w:hAnsi="Times New Roman"/>
          <w:sz w:val="28"/>
          <w:szCs w:val="28"/>
        </w:rPr>
        <w:t xml:space="preserve">, ai sensi dell’articolo 23 della direttiva 2001/18/CE del Parlamento europeo e del Consiglio del 12 marzo 2001, </w:t>
      </w:r>
      <w:r w:rsidRPr="00A902AD">
        <w:rPr>
          <w:rFonts w:ascii="Times New Roman" w:hAnsi="Times New Roman"/>
          <w:i/>
          <w:sz w:val="28"/>
          <w:szCs w:val="28"/>
        </w:rPr>
        <w:t>sull’emissione deliberata nell’ambiente di organismi geneticamente modificati e che abroga la direttiva 90/220/CE del Consiglio</w:t>
      </w:r>
      <w:r w:rsidRPr="00A902AD">
        <w:rPr>
          <w:rFonts w:ascii="Times New Roman" w:hAnsi="Times New Roman"/>
          <w:sz w:val="28"/>
          <w:szCs w:val="28"/>
        </w:rPr>
        <w:t xml:space="preserve">.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Il decreto legislativo 8 luglio 2003, n. 224, che recepisce, all’articolo 25, la clausola di salvaguardia, consente, infatti, disgiuntamente, al Ministro delle Politiche Agricole e Forestali, al Ministro dell’Ambiente e della Tutela del Territorio e del Mare ed al Ministro della Salute, per quanto di rispettiva competenza, di limitare o vietare temporaneamente l’impiego sul territorio nazionale di un OGM autorizzato a livello comunitario, con un provvedimento d’urgenza. Tale provvedimento deve essere motivato dalla acquisizione di nuove e ulteriori informazioni riguardanti la valutazione di rischi ambientali ovvero dalla nuova valutazione di informazioni esistenti per tener conto di sopravvenute conoscenze scientifiche e deve altresì fondarsi sulle ragioni di rischio per la salute umana, animale e per l’ambiente.</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Si tratta di una misura efficace, capace di garantire l’agricoltura ed il territorio italiano dall’inquinamento genetico, in attesa che venga portato a completa definizione il nuovo sistema europeo in materia di coltivazione di OGM.</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Si rammenta come, proprio mediante la clausola di salvaguardia, Austria, Ungheria, Lussemburgo, Grecia, Francia e Germania abbiano vietato il mais MON 810. Inoltre, con il medesimo mezzo giuridico l’Austria ha vietato il mais T 25 e la patata </w:t>
      </w:r>
      <w:proofErr w:type="spellStart"/>
      <w:r w:rsidRPr="00A902AD">
        <w:rPr>
          <w:rFonts w:ascii="Times New Roman" w:hAnsi="Times New Roman"/>
          <w:sz w:val="28"/>
          <w:szCs w:val="28"/>
        </w:rPr>
        <w:t>Amflora</w:t>
      </w:r>
      <w:proofErr w:type="spellEnd"/>
      <w:r w:rsidRPr="00A902AD">
        <w:rPr>
          <w:rFonts w:ascii="Times New Roman" w:hAnsi="Times New Roman"/>
          <w:sz w:val="28"/>
          <w:szCs w:val="28"/>
        </w:rPr>
        <w:t xml:space="preserve">. La clausola di salvaguardia è stata utilizzata anche dall’Ungheria e dal Lussemburgo, sempre in relazione alla patata </w:t>
      </w:r>
      <w:proofErr w:type="spellStart"/>
      <w:r w:rsidRPr="00A902AD">
        <w:rPr>
          <w:rFonts w:ascii="Times New Roman" w:hAnsi="Times New Roman"/>
          <w:sz w:val="28"/>
          <w:szCs w:val="28"/>
        </w:rPr>
        <w:t>Amflora</w:t>
      </w:r>
      <w:proofErr w:type="spellEnd"/>
      <w:r w:rsidRPr="00A902AD">
        <w:rPr>
          <w:rFonts w:ascii="Times New Roman" w:hAnsi="Times New Roman"/>
          <w:sz w:val="28"/>
          <w:szCs w:val="28"/>
        </w:rPr>
        <w:t xml:space="preserve">. </w:t>
      </w:r>
    </w:p>
    <w:p w:rsidR="006236AD" w:rsidRPr="00A902AD" w:rsidRDefault="006236AD" w:rsidP="00AB0C2E">
      <w:pPr>
        <w:autoSpaceDE w:val="0"/>
        <w:ind w:firstLine="709"/>
        <w:jc w:val="both"/>
        <w:rPr>
          <w:rFonts w:ascii="Times New Roman" w:hAnsi="Times New Roman"/>
          <w:b/>
          <w:sz w:val="28"/>
          <w:szCs w:val="28"/>
          <w:u w:val="single"/>
        </w:rPr>
      </w:pPr>
    </w:p>
    <w:p w:rsidR="006236AD" w:rsidRPr="00A902AD" w:rsidRDefault="006236AD" w:rsidP="00AB0C2E">
      <w:pPr>
        <w:autoSpaceDE w:val="0"/>
        <w:ind w:firstLine="709"/>
        <w:jc w:val="both"/>
        <w:rPr>
          <w:rFonts w:ascii="Times New Roman" w:hAnsi="Times New Roman"/>
          <w:b/>
          <w:sz w:val="28"/>
          <w:szCs w:val="28"/>
          <w:u w:val="single"/>
        </w:rPr>
      </w:pPr>
      <w:r w:rsidRPr="00A902AD">
        <w:rPr>
          <w:rFonts w:ascii="Times New Roman" w:hAnsi="Times New Roman"/>
          <w:b/>
          <w:sz w:val="28"/>
          <w:szCs w:val="28"/>
          <w:u w:val="single"/>
        </w:rPr>
        <w:t>4) Compatibilità della disciplina nazionale con i principi UE.</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D’altra parte non sussiste alcun obbligo di procedere, oggi, con l’adozione delle linee guida sulla coesistenza, in quanto tali misure costituiscono una </w:t>
      </w:r>
      <w:r w:rsidRPr="00A902AD">
        <w:rPr>
          <w:rFonts w:ascii="Times New Roman" w:hAnsi="Times New Roman"/>
          <w:b/>
          <w:sz w:val="28"/>
          <w:szCs w:val="28"/>
        </w:rPr>
        <w:t xml:space="preserve">facoltà </w:t>
      </w:r>
      <w:r w:rsidRPr="00A902AD">
        <w:rPr>
          <w:rFonts w:ascii="Times New Roman" w:hAnsi="Times New Roman"/>
          <w:sz w:val="28"/>
          <w:szCs w:val="28"/>
        </w:rPr>
        <w:t xml:space="preserve">- e non un obbligo - per gli Stati membri e, di conseguenza, non è ravvisabile alcuna </w:t>
      </w:r>
      <w:r w:rsidRPr="00A902AD">
        <w:rPr>
          <w:rFonts w:ascii="Times New Roman" w:hAnsi="Times New Roman"/>
          <w:i/>
          <w:sz w:val="28"/>
          <w:szCs w:val="28"/>
        </w:rPr>
        <w:t>lacuna</w:t>
      </w:r>
      <w:r w:rsidRPr="00A902AD">
        <w:rPr>
          <w:rFonts w:ascii="Times New Roman" w:hAnsi="Times New Roman"/>
          <w:sz w:val="28"/>
          <w:szCs w:val="28"/>
        </w:rPr>
        <w:t xml:space="preserve"> nel sistema regolativo nazionale in materia e nessun rischio di infrazione del diritto comunitario.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E’ importante rammentare come, con la sentenza della Corte Costituzionale 17 marzo 2006, n. 116, sia stata dichiarata l’illegittimità di alcune previsioni contenute nel decreto legge 22 novembre 2004, n. 279, </w:t>
      </w:r>
      <w:r w:rsidRPr="00A902AD">
        <w:rPr>
          <w:rFonts w:ascii="Times New Roman" w:hAnsi="Times New Roman"/>
          <w:i/>
          <w:sz w:val="28"/>
          <w:szCs w:val="28"/>
        </w:rPr>
        <w:t>disposizioni urgenti per assicurare la coesistenza tra le forme di agricoltura transgenica, convenzionale e biologica</w:t>
      </w:r>
      <w:r w:rsidRPr="00A902AD">
        <w:rPr>
          <w:rFonts w:ascii="Times New Roman" w:hAnsi="Times New Roman"/>
          <w:sz w:val="28"/>
          <w:szCs w:val="28"/>
        </w:rPr>
        <w:t xml:space="preserve">, convertito in legge, con modificazioni, dalla legge 28 gennaio 2005, n.5, che disciplina il quadro normativo minimo per assicurare la coesistenza.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Ciò perché è stata riconosciuta la competenza regionale a disciplinare con legge i piani di coesistenza. La Corte, infatti, ha stabilito che spetta alle Regioni definire le modalità di applicazione del principio di coesistenza nei diversi territori regionali, che sono notoriamente diversi tra loro da un punto di vista morfologico e produttivo.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Tale intervento, comunque, non ha riguardato la legittimità dei principi di fondo del decreto legge. Infatti, da un lato, il Legislatore statale ha esercitato la competenza legislativa esclusiva in tema di tutela dell’ambiente e quella concorrente in tema di tutela della salute, mentre dall’altro lato, spetta alle Regioni disciplinare la produzione agricola in presenza di colture transgeniche.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Ebbene, come evidenziato dal Consiglio di Stato con la sentenza n. 183/2010, considerati i profili prettamente economici che devono essere regolamentati dai piani di coesistenza e considerato che, a tali piani, sono estranei i profili ambientali e sanitari, pur in loro assenza, rimane pienamente operativo il </w:t>
      </w:r>
      <w:r w:rsidRPr="00A902AD">
        <w:rPr>
          <w:rFonts w:ascii="Times New Roman" w:hAnsi="Times New Roman"/>
          <w:i/>
          <w:sz w:val="28"/>
          <w:szCs w:val="28"/>
        </w:rPr>
        <w:t>principio comunitario</w:t>
      </w:r>
      <w:r w:rsidRPr="00A902AD">
        <w:rPr>
          <w:rFonts w:ascii="Times New Roman" w:hAnsi="Times New Roman"/>
          <w:sz w:val="28"/>
          <w:szCs w:val="28"/>
        </w:rPr>
        <w:t xml:space="preserve"> della coltivabilità degli OGM se autorizzati. </w:t>
      </w:r>
    </w:p>
    <w:p w:rsidR="006236AD" w:rsidRPr="00A902AD"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 xml:space="preserve">Per questo, il rilascio dell’autorizzazione alla messa in coltura, la cui obbligatorietà è sancita, nel nostro Paese, dall’articolo 1, comma 2, del decreto legislativo 24 aprile 2001, n. 212, non può essere condizionato alla previa adozione dei piani di coesistenza. </w:t>
      </w:r>
    </w:p>
    <w:p w:rsidR="006236AD" w:rsidRPr="00AB0C2E" w:rsidRDefault="006236AD" w:rsidP="00AB0C2E">
      <w:pPr>
        <w:autoSpaceDE w:val="0"/>
        <w:ind w:firstLine="709"/>
        <w:jc w:val="both"/>
        <w:rPr>
          <w:rFonts w:ascii="Times New Roman" w:hAnsi="Times New Roman"/>
          <w:sz w:val="28"/>
          <w:szCs w:val="28"/>
        </w:rPr>
      </w:pPr>
      <w:r w:rsidRPr="00A902AD">
        <w:rPr>
          <w:rFonts w:ascii="Times New Roman" w:hAnsi="Times New Roman"/>
          <w:sz w:val="28"/>
          <w:szCs w:val="28"/>
        </w:rPr>
        <w:t>Nessuna sanzione potrebbe essere imputata allo Stato per la mancata applicazione delle linee guida.</w:t>
      </w:r>
    </w:p>
    <w:p w:rsidR="006236AD" w:rsidRPr="00AB0C2E" w:rsidRDefault="006236AD" w:rsidP="00AB0C2E">
      <w:pPr>
        <w:jc w:val="both"/>
        <w:rPr>
          <w:rFonts w:ascii="Times New Roman" w:hAnsi="Times New Roman"/>
          <w:bCs/>
          <w:sz w:val="28"/>
          <w:szCs w:val="28"/>
        </w:rPr>
      </w:pPr>
    </w:p>
    <w:p w:rsidR="006236AD" w:rsidRDefault="006236AD" w:rsidP="00357178">
      <w:pPr>
        <w:autoSpaceDE w:val="0"/>
        <w:jc w:val="both"/>
        <w:rPr>
          <w:rFonts w:ascii="Garamond" w:hAnsi="Garamond" w:cs="Arial"/>
          <w:sz w:val="28"/>
          <w:szCs w:val="28"/>
        </w:rPr>
      </w:pPr>
    </w:p>
    <w:p w:rsidR="006236AD" w:rsidRDefault="006236AD" w:rsidP="00357178">
      <w:pPr>
        <w:autoSpaceDE w:val="0"/>
        <w:ind w:firstLine="709"/>
        <w:jc w:val="both"/>
        <w:rPr>
          <w:rFonts w:ascii="Garamond" w:hAnsi="Garamond" w:cs="Arial"/>
          <w:sz w:val="28"/>
          <w:szCs w:val="28"/>
        </w:rPr>
      </w:pPr>
    </w:p>
    <w:p w:rsidR="006236AD" w:rsidRDefault="006236AD" w:rsidP="00357178">
      <w:pPr>
        <w:autoSpaceDE w:val="0"/>
        <w:ind w:firstLine="709"/>
        <w:jc w:val="both"/>
        <w:rPr>
          <w:rFonts w:ascii="Garamond" w:hAnsi="Garamond" w:cs="Arial"/>
          <w:sz w:val="26"/>
          <w:szCs w:val="26"/>
        </w:rPr>
      </w:pPr>
    </w:p>
    <w:p w:rsidR="006236AD" w:rsidRDefault="006236AD" w:rsidP="00357178">
      <w:pPr>
        <w:autoSpaceDE w:val="0"/>
        <w:ind w:firstLine="709"/>
        <w:jc w:val="both"/>
        <w:rPr>
          <w:rFonts w:ascii="Garamond" w:hAnsi="Garamond" w:cs="Arial"/>
          <w:sz w:val="26"/>
          <w:szCs w:val="26"/>
        </w:rPr>
      </w:pPr>
    </w:p>
    <w:p w:rsidR="006236AD" w:rsidRDefault="006236AD" w:rsidP="00357178">
      <w:pPr>
        <w:autoSpaceDE w:val="0"/>
        <w:ind w:firstLine="709"/>
        <w:jc w:val="both"/>
        <w:rPr>
          <w:rFonts w:ascii="Garamond" w:hAnsi="Garamond" w:cs="Arial"/>
          <w:sz w:val="26"/>
          <w:szCs w:val="26"/>
        </w:rPr>
      </w:pPr>
    </w:p>
    <w:p w:rsidR="006236AD" w:rsidRDefault="006236AD" w:rsidP="00357178">
      <w:pPr>
        <w:autoSpaceDE w:val="0"/>
        <w:ind w:firstLine="709"/>
        <w:jc w:val="both"/>
        <w:rPr>
          <w:rFonts w:ascii="Garamond" w:hAnsi="Garamond" w:cs="Arial"/>
          <w:sz w:val="26"/>
          <w:szCs w:val="26"/>
        </w:rPr>
      </w:pPr>
    </w:p>
    <w:p w:rsidR="006236AD" w:rsidRDefault="006236AD" w:rsidP="00357178">
      <w:pPr>
        <w:autoSpaceDE w:val="0"/>
        <w:ind w:firstLine="709"/>
        <w:jc w:val="both"/>
        <w:rPr>
          <w:rFonts w:ascii="Garamond" w:hAnsi="Garamond" w:cs="Arial"/>
          <w:sz w:val="26"/>
          <w:szCs w:val="26"/>
        </w:rPr>
      </w:pPr>
    </w:p>
    <w:p w:rsidR="006236AD" w:rsidRDefault="006236AD" w:rsidP="00357178">
      <w:pPr>
        <w:autoSpaceDE w:val="0"/>
        <w:ind w:firstLine="709"/>
        <w:jc w:val="both"/>
        <w:rPr>
          <w:rFonts w:ascii="Garamond" w:hAnsi="Garamond" w:cs="Arial"/>
          <w:sz w:val="26"/>
          <w:szCs w:val="26"/>
        </w:rPr>
      </w:pPr>
    </w:p>
    <w:p w:rsidR="006236AD" w:rsidRDefault="006236AD"/>
    <w:sectPr w:rsidR="006236AD" w:rsidSect="005F4F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178"/>
    <w:rsid w:val="000714E0"/>
    <w:rsid w:val="001D132E"/>
    <w:rsid w:val="0034740E"/>
    <w:rsid w:val="00357178"/>
    <w:rsid w:val="00586BD3"/>
    <w:rsid w:val="005F4FBF"/>
    <w:rsid w:val="006236AD"/>
    <w:rsid w:val="00661401"/>
    <w:rsid w:val="00681120"/>
    <w:rsid w:val="00880DC3"/>
    <w:rsid w:val="00A36363"/>
    <w:rsid w:val="00A902AD"/>
    <w:rsid w:val="00AB0C2E"/>
    <w:rsid w:val="00BE7A88"/>
    <w:rsid w:val="00D31975"/>
    <w:rsid w:val="00DF76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FB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714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1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94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1928</Words>
  <Characters>11334</Characters>
  <Application>Microsoft Office Word</Application>
  <DocSecurity>0</DocSecurity>
  <Lines>94</Lines>
  <Paragraphs>26</Paragraphs>
  <ScaleCrop>false</ScaleCrop>
  <Company>Coldiretti</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Stato Regioni ed Unificata</dc:title>
  <dc:subject/>
  <dc:creator> </dc:creator>
  <cp:keywords/>
  <dc:description/>
  <cp:lastModifiedBy>Palmacci Alessandro</cp:lastModifiedBy>
  <cp:revision>3</cp:revision>
  <cp:lastPrinted>2010-09-30T11:25:00Z</cp:lastPrinted>
  <dcterms:created xsi:type="dcterms:W3CDTF">2010-09-30T11:28:00Z</dcterms:created>
  <dcterms:modified xsi:type="dcterms:W3CDTF">2010-09-30T13:57:00Z</dcterms:modified>
</cp:coreProperties>
</file>